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73" w:rsidRDefault="00705B73" w:rsidP="00705B73">
      <w:pPr>
        <w:tabs>
          <w:tab w:val="left" w:pos="1008"/>
        </w:tabs>
        <w:jc w:val="both"/>
        <w:rPr>
          <w:rFonts w:ascii="Book Antiqua" w:eastAsia="Times New Roman" w:hAnsi="Book Antiqua"/>
          <w:color w:val="000000"/>
          <w:sz w:val="24"/>
          <w:szCs w:val="24"/>
          <w:lang w:eastAsia="it-IT"/>
        </w:rPr>
      </w:pPr>
    </w:p>
    <w:p w:rsidR="00705B73" w:rsidRDefault="00705B73" w:rsidP="00705B73">
      <w:pPr>
        <w:tabs>
          <w:tab w:val="left" w:pos="1008"/>
        </w:tabs>
        <w:jc w:val="both"/>
        <w:rPr>
          <w:rFonts w:ascii="Book Antiqua" w:eastAsia="Times New Roman" w:hAnsi="Book Antiqua"/>
          <w:color w:val="000000"/>
          <w:sz w:val="24"/>
          <w:szCs w:val="24"/>
          <w:lang w:eastAsia="it-IT"/>
        </w:rPr>
      </w:pPr>
      <w:r w:rsidRPr="00865CF9">
        <w:rPr>
          <w:rFonts w:ascii="Book Antiqua" w:eastAsia="Times New Roman" w:hAnsi="Book Antiqua"/>
          <w:color w:val="000000"/>
          <w:sz w:val="24"/>
          <w:szCs w:val="24"/>
          <w:lang w:eastAsia="it-IT"/>
        </w:rPr>
        <w:t>AVVISO PUBBLICO PER MANIFESTAZIONE DI INTERESSE FINALIZZATA ALL’ACQUISTO</w:t>
      </w:r>
      <w:r>
        <w:rPr>
          <w:rFonts w:ascii="Book Antiqua" w:eastAsia="Times New Roman" w:hAnsi="Book Antiqua"/>
          <w:color w:val="000000"/>
          <w:sz w:val="24"/>
          <w:szCs w:val="24"/>
          <w:lang w:eastAsia="it-IT"/>
        </w:rPr>
        <w:t xml:space="preserve"> </w:t>
      </w:r>
      <w:r w:rsidRPr="00865CF9">
        <w:rPr>
          <w:rFonts w:ascii="Book Antiqua" w:eastAsia="Times New Roman" w:hAnsi="Book Antiqua"/>
          <w:color w:val="000000"/>
          <w:sz w:val="24"/>
          <w:szCs w:val="24"/>
          <w:lang w:eastAsia="it-IT"/>
        </w:rPr>
        <w:t>DI AREA VERDE DI PROPRIETA’ DEL COMUNE DI RECANATI</w:t>
      </w:r>
      <w:r>
        <w:rPr>
          <w:rFonts w:ascii="Book Antiqua" w:eastAsia="Times New Roman" w:hAnsi="Book Antiqua"/>
          <w:color w:val="000000"/>
          <w:sz w:val="24"/>
          <w:szCs w:val="24"/>
          <w:lang w:eastAsia="it-IT"/>
        </w:rPr>
        <w:t xml:space="preserve"> SITA IN </w:t>
      </w:r>
      <w:r w:rsidRPr="00865CF9">
        <w:rPr>
          <w:rFonts w:ascii="Book Antiqua" w:eastAsia="Times New Roman" w:hAnsi="Book Antiqua"/>
          <w:color w:val="000000"/>
          <w:sz w:val="24"/>
          <w:szCs w:val="24"/>
          <w:lang w:eastAsia="it-IT"/>
        </w:rPr>
        <w:t>VIA DEGLI ALPINI</w:t>
      </w:r>
    </w:p>
    <w:p w:rsidR="00705B73" w:rsidRPr="00865CF9" w:rsidRDefault="00705B73" w:rsidP="00705B73">
      <w:pPr>
        <w:tabs>
          <w:tab w:val="left" w:pos="1008"/>
        </w:tabs>
        <w:jc w:val="both"/>
        <w:rPr>
          <w:rFonts w:ascii="Book Antiqua" w:eastAsia="Times New Roman" w:hAnsi="Book Antiqua"/>
          <w:color w:val="000000"/>
          <w:sz w:val="24"/>
          <w:szCs w:val="24"/>
          <w:lang w:eastAsia="it-IT"/>
        </w:rPr>
      </w:pPr>
    </w:p>
    <w:p w:rsidR="00705B73" w:rsidRDefault="00705B73" w:rsidP="00705B73">
      <w:pPr>
        <w:keepNext/>
        <w:tabs>
          <w:tab w:val="left" w:pos="1008"/>
        </w:tabs>
        <w:jc w:val="center"/>
        <w:rPr>
          <w:rFonts w:ascii="Arial" w:eastAsia="Times New Roman" w:hAnsi="Arial" w:cs="Arial"/>
          <w:b/>
          <w:bCs/>
          <w:szCs w:val="19"/>
        </w:rPr>
      </w:pPr>
      <w:r>
        <w:rPr>
          <w:rFonts w:ascii="Book Antiqua" w:eastAsia="Times New Roman" w:hAnsi="Book Antiqua"/>
          <w:color w:val="000000"/>
          <w:sz w:val="24"/>
          <w:szCs w:val="24"/>
          <w:lang w:eastAsia="it-IT"/>
        </w:rPr>
        <w:t>Il Responsabile P.O. Ufficio Tributi e Patrimonio</w:t>
      </w:r>
    </w:p>
    <w:p w:rsidR="00705B73" w:rsidRDefault="00705B73" w:rsidP="00705B73">
      <w:pPr>
        <w:keepNext/>
        <w:tabs>
          <w:tab w:val="left" w:pos="1008"/>
        </w:tabs>
        <w:jc w:val="both"/>
        <w:rPr>
          <w:rFonts w:ascii="Arial" w:eastAsia="Times New Roman" w:hAnsi="Arial" w:cs="Arial"/>
          <w:b/>
          <w:bCs/>
          <w:szCs w:val="19"/>
        </w:rPr>
      </w:pPr>
    </w:p>
    <w:p w:rsidR="00705B73" w:rsidRPr="00932C77" w:rsidRDefault="00705B73" w:rsidP="00705B73">
      <w:pPr>
        <w:tabs>
          <w:tab w:val="left" w:pos="1008"/>
        </w:tabs>
        <w:jc w:val="both"/>
        <w:rPr>
          <w:rFonts w:ascii="Arial" w:eastAsia="Times New Roman" w:hAnsi="Arial" w:cs="Arial"/>
          <w:sz w:val="20"/>
          <w:szCs w:val="20"/>
        </w:rPr>
      </w:pPr>
      <w:r w:rsidRPr="00932C77">
        <w:rPr>
          <w:rFonts w:ascii="Arial" w:eastAsia="Times New Roman" w:hAnsi="Arial" w:cs="Arial"/>
          <w:sz w:val="20"/>
          <w:szCs w:val="20"/>
        </w:rPr>
        <w:t>VISTO la Delibera di Consiglio n. 56 del 28.12.2020 del Documento Unico Di Programmazione (DUP) Aggiornato - Periodo 2021/2023 (ART. 170, Comma 1, Del D.Lgs. N. 267/2000) dove è stato approvato il piano delle aliena</w:t>
      </w:r>
      <w:r>
        <w:rPr>
          <w:rFonts w:ascii="Arial" w:eastAsia="Times New Roman" w:hAnsi="Arial" w:cs="Arial"/>
          <w:sz w:val="20"/>
          <w:szCs w:val="20"/>
        </w:rPr>
        <w:t>zioni e valorizzazioni immobiliari.</w:t>
      </w:r>
    </w:p>
    <w:p w:rsidR="00705B73" w:rsidRDefault="00705B73" w:rsidP="00705B73">
      <w:pPr>
        <w:tabs>
          <w:tab w:val="left" w:pos="1008"/>
        </w:tabs>
        <w:jc w:val="both"/>
        <w:rPr>
          <w:rFonts w:ascii="Arial" w:eastAsia="Times New Roman" w:hAnsi="Arial" w:cs="Arial"/>
          <w:sz w:val="20"/>
          <w:szCs w:val="20"/>
        </w:rPr>
      </w:pPr>
      <w:r>
        <w:rPr>
          <w:rFonts w:ascii="Arial" w:eastAsia="Times New Roman" w:hAnsi="Arial" w:cs="Arial"/>
          <w:sz w:val="20"/>
          <w:szCs w:val="20"/>
        </w:rPr>
        <w:t xml:space="preserve">Vista la Determina Dirigenziale n.  </w:t>
      </w:r>
      <w:r w:rsidR="00332836">
        <w:rPr>
          <w:rFonts w:ascii="Arial" w:eastAsia="Times New Roman" w:hAnsi="Arial" w:cs="Arial"/>
          <w:sz w:val="20"/>
          <w:szCs w:val="20"/>
        </w:rPr>
        <w:t>191  del 22/03/2021</w:t>
      </w:r>
    </w:p>
    <w:p w:rsidR="00705B73" w:rsidRDefault="00705B73" w:rsidP="00705B73">
      <w:pPr>
        <w:tabs>
          <w:tab w:val="left" w:pos="1008"/>
        </w:tabs>
        <w:jc w:val="both"/>
        <w:rPr>
          <w:rFonts w:ascii="Arial" w:eastAsia="Times New Roman" w:hAnsi="Arial" w:cs="Arial"/>
          <w:sz w:val="20"/>
          <w:szCs w:val="20"/>
        </w:rPr>
      </w:pPr>
      <w:r w:rsidRPr="00932C77">
        <w:rPr>
          <w:rFonts w:ascii="Arial" w:eastAsia="Times New Roman" w:hAnsi="Arial" w:cs="Arial"/>
          <w:sz w:val="20"/>
          <w:szCs w:val="20"/>
        </w:rPr>
        <w:t>Visti i principi di trasparenza, di parità di trattamento e di non discriminazione, i</w:t>
      </w:r>
      <w:r>
        <w:rPr>
          <w:rFonts w:ascii="Arial" w:eastAsia="Times New Roman" w:hAnsi="Arial" w:cs="Arial"/>
          <w:sz w:val="20"/>
          <w:szCs w:val="20"/>
        </w:rPr>
        <w:t>l bene</w:t>
      </w:r>
      <w:r w:rsidRPr="00932C77">
        <w:rPr>
          <w:rFonts w:ascii="Arial" w:eastAsia="Times New Roman" w:hAnsi="Arial" w:cs="Arial"/>
          <w:sz w:val="20"/>
          <w:szCs w:val="20"/>
        </w:rPr>
        <w:t xml:space="preserve"> da alienare, nella fattispecie Area Verde</w:t>
      </w:r>
      <w:r>
        <w:rPr>
          <w:rFonts w:ascii="Arial" w:eastAsia="Times New Roman" w:hAnsi="Arial" w:cs="Arial"/>
          <w:sz w:val="20"/>
          <w:szCs w:val="20"/>
        </w:rPr>
        <w:t xml:space="preserve"> non attrezza</w:t>
      </w:r>
      <w:bookmarkStart w:id="0" w:name="_GoBack"/>
      <w:bookmarkEnd w:id="0"/>
      <w:r>
        <w:rPr>
          <w:rFonts w:ascii="Arial" w:eastAsia="Times New Roman" w:hAnsi="Arial" w:cs="Arial"/>
          <w:sz w:val="20"/>
          <w:szCs w:val="20"/>
        </w:rPr>
        <w:t xml:space="preserve">ta, è </w:t>
      </w:r>
      <w:r w:rsidRPr="00932C77">
        <w:rPr>
          <w:rFonts w:ascii="Arial" w:eastAsia="Times New Roman" w:hAnsi="Arial" w:cs="Arial"/>
          <w:sz w:val="20"/>
          <w:szCs w:val="20"/>
        </w:rPr>
        <w:t>oggetto del presente avviso pubblico, per accogliere le manifestazioni di interesse da parte di soggetti interessati all’acquisizione della suddetta area</w:t>
      </w:r>
      <w:r>
        <w:rPr>
          <w:rFonts w:ascii="Arial" w:eastAsia="Times New Roman" w:hAnsi="Arial" w:cs="Arial"/>
          <w:sz w:val="20"/>
          <w:szCs w:val="20"/>
        </w:rPr>
        <w:t>.</w:t>
      </w:r>
    </w:p>
    <w:p w:rsidR="00705B73" w:rsidRDefault="00705B73" w:rsidP="00705B73">
      <w:pPr>
        <w:tabs>
          <w:tab w:val="left" w:pos="1008"/>
        </w:tabs>
        <w:jc w:val="both"/>
        <w:rPr>
          <w:rFonts w:ascii="Arial" w:eastAsia="Times New Roman" w:hAnsi="Arial" w:cs="Arial"/>
          <w:sz w:val="20"/>
          <w:szCs w:val="20"/>
        </w:rPr>
      </w:pPr>
      <w:r>
        <w:rPr>
          <w:rFonts w:ascii="Arial" w:eastAsia="Times New Roman" w:hAnsi="Arial" w:cs="Arial"/>
          <w:sz w:val="20"/>
          <w:szCs w:val="20"/>
        </w:rPr>
        <w:t xml:space="preserve">Il presente avviso pubblico, pertanto, è finalizzato ad ottenere manifestazioni di interesse volte all’acquisto dei beni immobili disponibili, inseriti nel piano approvato con la citata delibera consiliare. </w:t>
      </w:r>
    </w:p>
    <w:p w:rsidR="00705B73" w:rsidRDefault="00705B73" w:rsidP="00705B73">
      <w:pPr>
        <w:tabs>
          <w:tab w:val="left" w:pos="1008"/>
        </w:tabs>
        <w:jc w:val="both"/>
        <w:rPr>
          <w:rFonts w:ascii="Arial" w:eastAsia="Times New Roman" w:hAnsi="Arial" w:cs="Arial"/>
          <w:sz w:val="20"/>
          <w:szCs w:val="20"/>
        </w:rPr>
      </w:pPr>
      <w:r>
        <w:rPr>
          <w:rFonts w:ascii="Arial" w:eastAsia="Times New Roman" w:hAnsi="Arial" w:cs="Arial"/>
          <w:sz w:val="20"/>
          <w:szCs w:val="20"/>
        </w:rPr>
        <w:t>Inoltre, è preliminare alla procedura negoziata di gara ufficiosa, con il criterio di miglior prezzo in aumento rispetto all’importo stabilito a base di gara, la cui base minima è indicata nella descrizione del lotto, che sarà espletata con coloro che presenteranno manifestazione di interesse all’acquisto dei beni di cui si tratta.</w:t>
      </w:r>
    </w:p>
    <w:p w:rsidR="00705B73" w:rsidRDefault="00705B73" w:rsidP="00705B73">
      <w:pPr>
        <w:keepNext/>
        <w:tabs>
          <w:tab w:val="left" w:pos="1008"/>
        </w:tabs>
        <w:spacing w:line="360" w:lineRule="auto"/>
        <w:jc w:val="both"/>
        <w:rPr>
          <w:rFonts w:ascii="Arial" w:eastAsia="Times New Roman" w:hAnsi="Arial" w:cs="Arial"/>
          <w:b/>
          <w:bCs/>
          <w:sz w:val="24"/>
          <w:szCs w:val="19"/>
        </w:rPr>
      </w:pPr>
      <w:r>
        <w:rPr>
          <w:rFonts w:ascii="Arial" w:eastAsia="Times New Roman" w:hAnsi="Arial" w:cs="Arial"/>
          <w:b/>
          <w:bCs/>
          <w:szCs w:val="19"/>
        </w:rPr>
        <w:t>DISPOSIZIONI GENERALI</w:t>
      </w:r>
    </w:p>
    <w:p w:rsidR="00705B73" w:rsidRDefault="00705B73" w:rsidP="00705B73">
      <w:pPr>
        <w:tabs>
          <w:tab w:val="left" w:pos="1008"/>
        </w:tabs>
        <w:jc w:val="both"/>
        <w:rPr>
          <w:rFonts w:ascii="Arial" w:eastAsia="Times New Roman" w:hAnsi="Arial" w:cs="Arial"/>
          <w:sz w:val="20"/>
          <w:szCs w:val="20"/>
        </w:rPr>
      </w:pPr>
      <w:r>
        <w:rPr>
          <w:rFonts w:ascii="Arial" w:eastAsia="Times New Roman" w:hAnsi="Arial" w:cs="Arial"/>
          <w:sz w:val="20"/>
          <w:szCs w:val="20"/>
        </w:rPr>
        <w:t>Il presente avviso costituisce solo un invito a manifestare interesse e non un invito a offrire un’offerta al pubblico, ai sensi dell’art. 1336 del Codice Civile;</w:t>
      </w:r>
    </w:p>
    <w:p w:rsidR="00705B73" w:rsidRDefault="00705B73" w:rsidP="00705B73">
      <w:pPr>
        <w:tabs>
          <w:tab w:val="left" w:pos="1008"/>
        </w:tabs>
        <w:jc w:val="both"/>
        <w:rPr>
          <w:rFonts w:ascii="Arial" w:eastAsia="Times New Roman" w:hAnsi="Arial" w:cs="Arial"/>
          <w:sz w:val="20"/>
          <w:szCs w:val="20"/>
        </w:rPr>
      </w:pPr>
      <w:r>
        <w:rPr>
          <w:rFonts w:ascii="Arial" w:eastAsia="Times New Roman" w:hAnsi="Arial" w:cs="Arial"/>
          <w:sz w:val="20"/>
          <w:szCs w:val="20"/>
        </w:rPr>
        <w:t>La pubblicazione del presente avviso e la ricezione della manifestazioni di interesse non comportano per l’Amministrazione comunale alcun obbligo o impegno nei confronti dei soggetti interessati, né danno diritto a ricevere prestazioni di sorta da parte dello stesso Comune, compreso il pagamento di commissioni di mediazioni ed eventuali oneri di consulenza.</w:t>
      </w:r>
    </w:p>
    <w:p w:rsidR="00705B73" w:rsidRDefault="00705B73" w:rsidP="00705B73">
      <w:pPr>
        <w:tabs>
          <w:tab w:val="left" w:pos="1008"/>
        </w:tabs>
        <w:jc w:val="both"/>
        <w:rPr>
          <w:rFonts w:ascii="Arial" w:eastAsia="Times New Roman" w:hAnsi="Arial" w:cs="Arial"/>
          <w:sz w:val="20"/>
          <w:szCs w:val="20"/>
        </w:rPr>
      </w:pPr>
    </w:p>
    <w:p w:rsidR="00705B73" w:rsidRDefault="00705B73" w:rsidP="00705B73">
      <w:pPr>
        <w:keepNext/>
        <w:tabs>
          <w:tab w:val="left" w:pos="1008"/>
        </w:tabs>
        <w:spacing w:line="360" w:lineRule="auto"/>
        <w:jc w:val="both"/>
        <w:rPr>
          <w:rFonts w:ascii="Arial" w:eastAsia="Times New Roman" w:hAnsi="Arial" w:cs="Arial"/>
          <w:b/>
          <w:bCs/>
          <w:sz w:val="24"/>
          <w:szCs w:val="19"/>
        </w:rPr>
      </w:pPr>
      <w:r>
        <w:rPr>
          <w:rFonts w:ascii="Arial" w:eastAsia="Times New Roman" w:hAnsi="Arial" w:cs="Arial"/>
          <w:b/>
          <w:bCs/>
          <w:szCs w:val="19"/>
        </w:rPr>
        <w:t>BENE IN VENDITA</w:t>
      </w:r>
    </w:p>
    <w:p w:rsidR="00705B73" w:rsidRDefault="00705B73" w:rsidP="00705B73">
      <w:pPr>
        <w:spacing w:before="280"/>
        <w:jc w:val="both"/>
        <w:rPr>
          <w:rFonts w:ascii="Arial" w:eastAsia="Times New Roman" w:hAnsi="Arial" w:cs="Arial"/>
          <w:sz w:val="20"/>
          <w:szCs w:val="20"/>
        </w:rPr>
      </w:pPr>
      <w:r>
        <w:rPr>
          <w:rFonts w:ascii="Arial" w:eastAsia="Times New Roman" w:hAnsi="Arial" w:cs="Arial"/>
          <w:sz w:val="20"/>
          <w:szCs w:val="20"/>
        </w:rPr>
        <w:t>Area Verde non attrezzata ubicata in Via degli Alpini, individuata catastalmente al foglio 42 plla 2136 di circa mq 186,00 da confermare con successivo frazionamento le cui spese sono tutte a carico dell’acquirente;</w:t>
      </w:r>
    </w:p>
    <w:p w:rsidR="00705B73" w:rsidRDefault="00705B73" w:rsidP="00705B73">
      <w:pPr>
        <w:spacing w:before="280"/>
        <w:jc w:val="both"/>
        <w:rPr>
          <w:rFonts w:ascii="Arial" w:eastAsia="Times New Roman" w:hAnsi="Arial" w:cs="Arial"/>
          <w:sz w:val="20"/>
          <w:szCs w:val="20"/>
        </w:rPr>
      </w:pPr>
      <w:r>
        <w:rPr>
          <w:rFonts w:ascii="Arial" w:eastAsia="Times New Roman" w:hAnsi="Arial" w:cs="Arial"/>
          <w:sz w:val="20"/>
          <w:szCs w:val="20"/>
        </w:rPr>
        <w:t>Prezzo Unitario a base d’Asta: €/mq 60,00</w:t>
      </w:r>
    </w:p>
    <w:p w:rsidR="00705B73" w:rsidRDefault="00705B73" w:rsidP="00705B73">
      <w:pPr>
        <w:spacing w:after="0"/>
        <w:jc w:val="both"/>
        <w:rPr>
          <w:rFonts w:ascii="Arial" w:eastAsia="Times New Roman" w:hAnsi="Arial" w:cs="Arial"/>
          <w:b/>
          <w:sz w:val="20"/>
          <w:szCs w:val="20"/>
        </w:rPr>
      </w:pPr>
    </w:p>
    <w:p w:rsidR="00705B73" w:rsidRDefault="00705B73" w:rsidP="00705B73">
      <w:pPr>
        <w:spacing w:after="0"/>
        <w:jc w:val="both"/>
        <w:rPr>
          <w:rFonts w:ascii="Arial" w:eastAsia="Times New Roman" w:hAnsi="Arial" w:cs="Arial"/>
          <w:b/>
          <w:sz w:val="20"/>
          <w:szCs w:val="20"/>
        </w:rPr>
      </w:pPr>
      <w:r>
        <w:rPr>
          <w:rFonts w:ascii="Arial" w:eastAsia="Times New Roman" w:hAnsi="Arial" w:cs="Arial"/>
          <w:b/>
          <w:sz w:val="20"/>
          <w:szCs w:val="20"/>
        </w:rPr>
        <w:t>MODALITA’ DI PRESENTAZIONE DELLA DOMANDA</w:t>
      </w:r>
    </w:p>
    <w:p w:rsidR="00705B73" w:rsidRPr="002D6574" w:rsidRDefault="00705B73" w:rsidP="00705B73">
      <w:pPr>
        <w:spacing w:before="280"/>
        <w:jc w:val="both"/>
        <w:rPr>
          <w:rFonts w:ascii="Arial" w:eastAsia="Times New Roman" w:hAnsi="Arial" w:cs="Arial"/>
          <w:sz w:val="20"/>
          <w:szCs w:val="20"/>
        </w:rPr>
      </w:pPr>
      <w:r>
        <w:rPr>
          <w:rFonts w:ascii="Arial" w:eastAsia="Times New Roman" w:hAnsi="Arial" w:cs="Arial"/>
          <w:sz w:val="20"/>
          <w:szCs w:val="20"/>
        </w:rPr>
        <w:t xml:space="preserve">I soggetti interessati posso presentare o inviare la propria disponibilità, redatta secondo lo schema allegato e debitamente sottoscritta con allegata fotocopia del documento d’identità del soggetto sottoscrittore, </w:t>
      </w:r>
      <w:r w:rsidRPr="00B71140">
        <w:rPr>
          <w:rFonts w:ascii="Arial" w:eastAsia="Times New Roman" w:hAnsi="Arial" w:cs="Arial"/>
          <w:b/>
          <w:sz w:val="20"/>
          <w:szCs w:val="20"/>
        </w:rPr>
        <w:t>entro e non oltre il 19.04.2021</w:t>
      </w:r>
      <w:r>
        <w:rPr>
          <w:rFonts w:ascii="Arial" w:eastAsia="Times New Roman" w:hAnsi="Arial" w:cs="Arial"/>
          <w:sz w:val="20"/>
          <w:szCs w:val="20"/>
        </w:rPr>
        <w:t xml:space="preserve">, </w:t>
      </w:r>
      <w:r w:rsidRPr="002D6574">
        <w:rPr>
          <w:rFonts w:ascii="Arial" w:eastAsia="Times New Roman" w:hAnsi="Arial" w:cs="Arial"/>
          <w:sz w:val="20"/>
          <w:szCs w:val="20"/>
          <w:u w:val="single"/>
        </w:rPr>
        <w:t>all’Ufficio Relazioni con il Pubblico</w:t>
      </w:r>
      <w:r>
        <w:rPr>
          <w:rFonts w:ascii="Arial" w:eastAsia="Times New Roman" w:hAnsi="Arial" w:cs="Arial"/>
          <w:sz w:val="20"/>
          <w:szCs w:val="20"/>
        </w:rPr>
        <w:t xml:space="preserve"> (Palazzo Comunale – Piano terra) o </w:t>
      </w:r>
      <w:r>
        <w:rPr>
          <w:rFonts w:ascii="Arial" w:eastAsia="Times New Roman" w:hAnsi="Arial" w:cs="Arial"/>
          <w:sz w:val="20"/>
          <w:szCs w:val="20"/>
          <w:u w:val="single"/>
        </w:rPr>
        <w:t xml:space="preserve">con raccomandata A/R </w:t>
      </w:r>
      <w:r>
        <w:t>o al seguente indirizzo di posta elettronica certificata (PEC) comune.recanati@emarche.it</w:t>
      </w:r>
    </w:p>
    <w:p w:rsidR="00705B73" w:rsidRDefault="00705B73" w:rsidP="00705B73">
      <w:pPr>
        <w:spacing w:after="0"/>
        <w:jc w:val="both"/>
      </w:pPr>
    </w:p>
    <w:p w:rsidR="00705B73" w:rsidRDefault="00705B73" w:rsidP="00705B73">
      <w:pPr>
        <w:spacing w:after="0"/>
        <w:jc w:val="both"/>
      </w:pPr>
      <w:r>
        <w:t>L’invio della manifestazione di interesse è a totale ed esclusivo rischio del mittente; restando esclusa qualsivoglia responsabilità dell’amministrazione comunale, ove per disguidi postali, di consegna della posta elettronica, o per qualsiasi altro motivo, la manifestazione stessa non dovesse pervenire entro il termine perentorio di cui sopra. Non saranno prese in considerazione le manifestazioni di interesse pervenute oltre il suddetto termine perentorio di scadenza.</w:t>
      </w:r>
    </w:p>
    <w:p w:rsidR="00705B73" w:rsidRDefault="00705B73" w:rsidP="00705B73">
      <w:pPr>
        <w:spacing w:after="0"/>
        <w:jc w:val="both"/>
        <w:rPr>
          <w:u w:val="single"/>
        </w:rPr>
      </w:pPr>
      <w:r w:rsidRPr="00932C77">
        <w:rPr>
          <w:u w:val="single"/>
        </w:rPr>
        <w:t>La manifestazione d’interesse non costituisce vincolo all’acquisto.</w:t>
      </w:r>
    </w:p>
    <w:p w:rsidR="00705B73" w:rsidRDefault="00705B73" w:rsidP="00705B73">
      <w:pPr>
        <w:spacing w:after="0"/>
        <w:jc w:val="both"/>
        <w:rPr>
          <w:u w:val="single"/>
        </w:rPr>
      </w:pPr>
    </w:p>
    <w:p w:rsidR="00705B73" w:rsidRDefault="00705B73" w:rsidP="00705B73">
      <w:pPr>
        <w:spacing w:after="0"/>
        <w:jc w:val="both"/>
        <w:rPr>
          <w:rFonts w:ascii="Arial" w:eastAsia="Times New Roman" w:hAnsi="Arial" w:cs="Arial"/>
          <w:b/>
          <w:sz w:val="20"/>
          <w:szCs w:val="20"/>
        </w:rPr>
      </w:pPr>
      <w:r>
        <w:rPr>
          <w:rFonts w:ascii="Arial" w:eastAsia="Times New Roman" w:hAnsi="Arial" w:cs="Arial"/>
          <w:b/>
          <w:sz w:val="20"/>
          <w:szCs w:val="20"/>
        </w:rPr>
        <w:t>ALTRE INFORMAZIONI</w:t>
      </w:r>
    </w:p>
    <w:p w:rsidR="00705B73" w:rsidRDefault="00705B73" w:rsidP="00705B73">
      <w:pPr>
        <w:spacing w:after="0"/>
        <w:jc w:val="both"/>
        <w:rPr>
          <w:u w:val="single"/>
        </w:rPr>
      </w:pPr>
    </w:p>
    <w:p w:rsidR="00705B73" w:rsidRDefault="00705B73" w:rsidP="00705B73">
      <w:pPr>
        <w:spacing w:after="0"/>
        <w:jc w:val="both"/>
      </w:pPr>
      <w:r>
        <w:t>Il presente avviso</w:t>
      </w:r>
      <w:r w:rsidRPr="00FB1C8A">
        <w:t xml:space="preserve"> </w:t>
      </w:r>
      <w:r>
        <w:t xml:space="preserve">viene pubblicato </w:t>
      </w:r>
      <w:r w:rsidRPr="00FB1C8A">
        <w:t>in forma integrale sul sito web del Comune di Recanati</w:t>
      </w:r>
      <w:r>
        <w:t xml:space="preserve"> e</w:t>
      </w:r>
      <w:r w:rsidRPr="00FB1C8A">
        <w:t xml:space="preserve"> all’Albo Pretorio per un periodo di 20 giorni;</w:t>
      </w:r>
    </w:p>
    <w:p w:rsidR="00705B73" w:rsidRDefault="00705B73" w:rsidP="00705B73">
      <w:pPr>
        <w:spacing w:after="0"/>
        <w:jc w:val="both"/>
      </w:pPr>
    </w:p>
    <w:p w:rsidR="00705B73" w:rsidRPr="00B71140" w:rsidRDefault="00705B73" w:rsidP="00705B73">
      <w:pPr>
        <w:spacing w:after="0"/>
        <w:jc w:val="both"/>
        <w:rPr>
          <w:i/>
          <w:u w:val="single"/>
        </w:rPr>
      </w:pPr>
      <w:r w:rsidRPr="00B71140">
        <w:rPr>
          <w:i/>
          <w:u w:val="single"/>
        </w:rPr>
        <w:t>Il presente avviso ha scopo esclusivamente esplorativo senza l’istaurazione di posizioni giuridiche od obblighi negoziali nei confronti del Comune di Recanati il quale si riserva la possibilità di sospendere, modificare o annullare in tutto o in parte il procedimento avviato o di non dare seguito all’indizione della successiva gara senza che i soggetti possono vantare alcuna pretesa.</w:t>
      </w:r>
    </w:p>
    <w:p w:rsidR="00705B73" w:rsidRPr="00B71140" w:rsidRDefault="00705B73" w:rsidP="00705B73">
      <w:pPr>
        <w:spacing w:after="0"/>
        <w:rPr>
          <w:rFonts w:ascii="Arial" w:eastAsia="Times New Roman" w:hAnsi="Arial" w:cs="Arial"/>
          <w:i/>
          <w:sz w:val="20"/>
          <w:szCs w:val="20"/>
          <w:u w:val="single"/>
        </w:rPr>
      </w:pPr>
    </w:p>
    <w:p w:rsidR="00705B73" w:rsidRDefault="00705B73" w:rsidP="00705B73">
      <w:pPr>
        <w:spacing w:before="280" w:after="280"/>
        <w:rPr>
          <w:rFonts w:ascii="Arial" w:eastAsia="Times New Roman" w:hAnsi="Arial" w:cs="Arial"/>
          <w:b/>
          <w:sz w:val="20"/>
          <w:szCs w:val="20"/>
        </w:rPr>
      </w:pPr>
      <w:r>
        <w:rPr>
          <w:rFonts w:ascii="Arial" w:eastAsia="Times New Roman" w:hAnsi="Arial" w:cs="Arial"/>
          <w:b/>
          <w:sz w:val="20"/>
          <w:szCs w:val="20"/>
        </w:rPr>
        <w:t xml:space="preserve">TRATTAMENTO DATI PERSONALI </w:t>
      </w:r>
    </w:p>
    <w:p w:rsidR="00705B73" w:rsidRDefault="00705B73" w:rsidP="00705B73">
      <w:pPr>
        <w:spacing w:after="120"/>
        <w:jc w:val="both"/>
      </w:pPr>
      <w:r>
        <w:rPr>
          <w:rFonts w:ascii="Arial" w:eastAsia="Times New Roman" w:hAnsi="Arial" w:cs="Arial"/>
          <w:b/>
          <w:sz w:val="20"/>
          <w:szCs w:val="20"/>
        </w:rPr>
        <w:br/>
      </w:r>
      <w:r>
        <w:rPr>
          <w:rFonts w:ascii="Arial" w:eastAsia="Times New Roman" w:hAnsi="Arial" w:cs="Arial"/>
          <w:sz w:val="20"/>
          <w:szCs w:val="20"/>
        </w:rPr>
        <w:t>Tutti i dati personali trasmessi dai richiedenti con la domanda di partecipazione al presente avviso, ai sensi della vigente normativa in materia di privacy, sono trattati esclusivamente per le finalità di gestione della presente procedura e degli eventuali procedimenti connessi.</w:t>
      </w:r>
    </w:p>
    <w:p w:rsidR="00705B73" w:rsidRDefault="00705B73" w:rsidP="00705B73">
      <w:pPr>
        <w:tabs>
          <w:tab w:val="left" w:pos="1008"/>
        </w:tabs>
        <w:ind w:left="11328"/>
        <w:jc w:val="both"/>
        <w:rPr>
          <w:rFonts w:ascii="Arial" w:eastAsia="Times New Roman" w:hAnsi="Arial" w:cs="Arial"/>
          <w:szCs w:val="19"/>
        </w:rPr>
      </w:pPr>
      <w:r>
        <w:rPr>
          <w:rFonts w:ascii="Arial" w:eastAsia="Times New Roman" w:hAnsi="Arial" w:cs="Arial"/>
          <w:szCs w:val="19"/>
        </w:rPr>
        <w:t xml:space="preserve">                                                                                                                                                     </w:t>
      </w:r>
    </w:p>
    <w:p w:rsidR="00705B73" w:rsidRDefault="00705B73" w:rsidP="00705B73">
      <w:pPr>
        <w:rPr>
          <w:rFonts w:ascii="Times New Roman" w:eastAsia="Times New Roman" w:hAnsi="Times New Roman" w:cs="Tahoma"/>
          <w:szCs w:val="24"/>
        </w:rPr>
      </w:pPr>
    </w:p>
    <w:p w:rsidR="00705B73" w:rsidRDefault="00705B73" w:rsidP="00705B73">
      <w:pPr>
        <w:pStyle w:val="Standard"/>
      </w:pPr>
    </w:p>
    <w:tbl>
      <w:tblPr>
        <w:tblW w:w="0" w:type="dxa"/>
        <w:tblLayout w:type="fixed"/>
        <w:tblCellMar>
          <w:left w:w="10" w:type="dxa"/>
          <w:right w:w="10" w:type="dxa"/>
        </w:tblCellMar>
        <w:tblLook w:val="04A0" w:firstRow="1" w:lastRow="0" w:firstColumn="1" w:lastColumn="0" w:noHBand="0" w:noVBand="1"/>
      </w:tblPr>
      <w:tblGrid>
        <w:gridCol w:w="3570"/>
        <w:gridCol w:w="6075"/>
      </w:tblGrid>
      <w:tr w:rsidR="00705B73" w:rsidTr="0001247D">
        <w:tc>
          <w:tcPr>
            <w:tcW w:w="3570" w:type="dxa"/>
            <w:tcMar>
              <w:top w:w="55" w:type="dxa"/>
              <w:left w:w="55" w:type="dxa"/>
              <w:bottom w:w="55" w:type="dxa"/>
              <w:right w:w="55" w:type="dxa"/>
            </w:tcMar>
          </w:tcPr>
          <w:p w:rsidR="00705B73" w:rsidRDefault="00705B73" w:rsidP="0001247D">
            <w:pPr>
              <w:pStyle w:val="TableContents"/>
            </w:pPr>
          </w:p>
        </w:tc>
        <w:tc>
          <w:tcPr>
            <w:tcW w:w="6075" w:type="dxa"/>
            <w:tcMar>
              <w:top w:w="55" w:type="dxa"/>
              <w:left w:w="55" w:type="dxa"/>
              <w:bottom w:w="55" w:type="dxa"/>
              <w:right w:w="55" w:type="dxa"/>
            </w:tcMar>
            <w:hideMark/>
          </w:tcPr>
          <w:p w:rsidR="00705B73" w:rsidRPr="00735B52" w:rsidRDefault="00705B73" w:rsidP="0001247D">
            <w:pPr>
              <w:keepNext/>
              <w:tabs>
                <w:tab w:val="left" w:pos="1008"/>
              </w:tabs>
              <w:jc w:val="center"/>
              <w:rPr>
                <w:rFonts w:ascii="Arial" w:eastAsia="Times New Roman" w:hAnsi="Arial" w:cs="Arial"/>
                <w:b/>
                <w:bCs/>
                <w:sz w:val="26"/>
                <w:szCs w:val="26"/>
              </w:rPr>
            </w:pPr>
            <w:r w:rsidRPr="00735B52">
              <w:rPr>
                <w:rFonts w:ascii="Book Antiqua" w:eastAsia="Times New Roman" w:hAnsi="Book Antiqua"/>
                <w:color w:val="000000"/>
                <w:sz w:val="26"/>
                <w:szCs w:val="26"/>
                <w:lang w:eastAsia="it-IT"/>
              </w:rPr>
              <w:t>Il Responsabile P.O. Ufficio Tributi e Patrimonio</w:t>
            </w:r>
          </w:p>
        </w:tc>
      </w:tr>
      <w:tr w:rsidR="00705B73" w:rsidTr="0001247D">
        <w:tc>
          <w:tcPr>
            <w:tcW w:w="3570" w:type="dxa"/>
            <w:tcMar>
              <w:top w:w="55" w:type="dxa"/>
              <w:left w:w="55" w:type="dxa"/>
              <w:bottom w:w="55" w:type="dxa"/>
              <w:right w:w="55" w:type="dxa"/>
            </w:tcMar>
          </w:tcPr>
          <w:p w:rsidR="00705B73" w:rsidRDefault="00705B73" w:rsidP="0001247D">
            <w:pPr>
              <w:pStyle w:val="TableContents"/>
            </w:pPr>
          </w:p>
        </w:tc>
        <w:tc>
          <w:tcPr>
            <w:tcW w:w="6075" w:type="dxa"/>
            <w:tcMar>
              <w:top w:w="55" w:type="dxa"/>
              <w:left w:w="55" w:type="dxa"/>
              <w:bottom w:w="55" w:type="dxa"/>
              <w:right w:w="55" w:type="dxa"/>
            </w:tcMar>
            <w:hideMark/>
          </w:tcPr>
          <w:p w:rsidR="00705B73" w:rsidRPr="00735B52" w:rsidRDefault="00705B73" w:rsidP="0001247D">
            <w:pPr>
              <w:pStyle w:val="TableContents"/>
              <w:jc w:val="center"/>
              <w:rPr>
                <w:sz w:val="22"/>
              </w:rPr>
            </w:pPr>
            <w:bookmarkStart w:id="1" w:name="firma"/>
            <w:r w:rsidRPr="00735B52">
              <w:rPr>
                <w:sz w:val="22"/>
              </w:rPr>
              <w:t xml:space="preserve">Dott.ssa </w:t>
            </w:r>
            <w:bookmarkEnd w:id="1"/>
            <w:r w:rsidRPr="00735B52">
              <w:rPr>
                <w:sz w:val="22"/>
              </w:rPr>
              <w:t>Mara Moretti</w:t>
            </w:r>
          </w:p>
        </w:tc>
      </w:tr>
    </w:tbl>
    <w:p w:rsidR="00C0061D" w:rsidRDefault="00C0061D"/>
    <w:sectPr w:rsidR="00C0061D" w:rsidSect="001210D8">
      <w:headerReference w:type="default" r:id="rId6"/>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2836">
      <w:pPr>
        <w:spacing w:after="0" w:line="240" w:lineRule="auto"/>
      </w:pPr>
      <w:r>
        <w:separator/>
      </w:r>
    </w:p>
  </w:endnote>
  <w:endnote w:type="continuationSeparator" w:id="0">
    <w:p w:rsidR="00000000" w:rsidRDefault="0033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2836">
      <w:pPr>
        <w:spacing w:after="0" w:line="240" w:lineRule="auto"/>
      </w:pPr>
      <w:r>
        <w:separator/>
      </w:r>
    </w:p>
  </w:footnote>
  <w:footnote w:type="continuationSeparator" w:id="0">
    <w:p w:rsidR="00000000" w:rsidRDefault="00332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D8" w:rsidRDefault="00705B73" w:rsidP="001210D8">
    <w:pPr>
      <w:pStyle w:val="Intestazione"/>
      <w:jc w:val="center"/>
      <w:rPr>
        <w:b/>
        <w:sz w:val="40"/>
      </w:rPr>
    </w:pPr>
    <w:r>
      <w:rPr>
        <w:noProof/>
        <w:lang w:eastAsia="it-IT"/>
      </w:rPr>
      <w:drawing>
        <wp:anchor distT="0" distB="0" distL="114300" distR="114300" simplePos="0" relativeHeight="251659264" behindDoc="0" locked="1" layoutInCell="0" allowOverlap="1">
          <wp:simplePos x="0" y="0"/>
          <wp:positionH relativeFrom="column">
            <wp:posOffset>81915</wp:posOffset>
          </wp:positionH>
          <wp:positionV relativeFrom="paragraph">
            <wp:posOffset>-3810</wp:posOffset>
          </wp:positionV>
          <wp:extent cx="516890" cy="720090"/>
          <wp:effectExtent l="0" t="0" r="0" b="3810"/>
          <wp:wrapTopAndBottom/>
          <wp:docPr id="1" name="Immagine 1"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720090"/>
                  </a:xfrm>
                  <a:prstGeom prst="rect">
                    <a:avLst/>
                  </a:prstGeom>
                  <a:noFill/>
                </pic:spPr>
              </pic:pic>
            </a:graphicData>
          </a:graphic>
          <wp14:sizeRelH relativeFrom="page">
            <wp14:pctWidth>0</wp14:pctWidth>
          </wp14:sizeRelH>
          <wp14:sizeRelV relativeFrom="page">
            <wp14:pctHeight>0</wp14:pctHeight>
          </wp14:sizeRelV>
        </wp:anchor>
      </w:drawing>
    </w:r>
    <w:r>
      <w:rPr>
        <w:b/>
        <w:sz w:val="40"/>
      </w:rPr>
      <w:t>Città di Recanati</w:t>
    </w:r>
  </w:p>
  <w:p w:rsidR="001210D8" w:rsidRDefault="00705B73" w:rsidP="001210D8">
    <w:pPr>
      <w:pStyle w:val="Intestazione"/>
      <w:spacing w:after="0"/>
      <w:jc w:val="center"/>
      <w:rPr>
        <w:b/>
        <w:sz w:val="28"/>
      </w:rPr>
    </w:pPr>
    <w:r>
      <w:rPr>
        <w:b/>
        <w:sz w:val="28"/>
      </w:rPr>
      <w:t>(Provincia di Macerata)</w:t>
    </w:r>
  </w:p>
  <w:p w:rsidR="001210D8" w:rsidRDefault="00705B73" w:rsidP="001210D8">
    <w:pPr>
      <w:pStyle w:val="Intestazione"/>
      <w:spacing w:after="0"/>
      <w:jc w:val="center"/>
      <w:rPr>
        <w:b/>
        <w:sz w:val="28"/>
      </w:rPr>
    </w:pPr>
    <w:r>
      <w:rPr>
        <w:b/>
        <w:sz w:val="32"/>
      </w:rPr>
      <w:t>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73"/>
    <w:rsid w:val="00332836"/>
    <w:rsid w:val="00705B73"/>
    <w:rsid w:val="00C00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17C87D0-34F0-46E3-A936-3D6BC9E3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B7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5B73"/>
    <w:pPr>
      <w:tabs>
        <w:tab w:val="center" w:pos="4819"/>
        <w:tab w:val="right" w:pos="9638"/>
      </w:tabs>
    </w:pPr>
  </w:style>
  <w:style w:type="character" w:customStyle="1" w:styleId="IntestazioneCarattere">
    <w:name w:val="Intestazione Carattere"/>
    <w:basedOn w:val="Carpredefinitoparagrafo"/>
    <w:link w:val="Intestazione"/>
    <w:uiPriority w:val="99"/>
    <w:rsid w:val="00705B73"/>
    <w:rPr>
      <w:rFonts w:ascii="Calibri" w:eastAsia="Calibri" w:hAnsi="Calibri" w:cs="Times New Roman"/>
    </w:rPr>
  </w:style>
  <w:style w:type="paragraph" w:customStyle="1" w:styleId="Standard">
    <w:name w:val="Standard"/>
    <w:rsid w:val="00705B73"/>
    <w:pPr>
      <w:widowControl w:val="0"/>
      <w:suppressAutoHyphens/>
      <w:autoSpaceDN w:val="0"/>
      <w:spacing w:after="0" w:line="240" w:lineRule="auto"/>
    </w:pPr>
    <w:rPr>
      <w:rFonts w:ascii="Arial" w:eastAsia="Arial" w:hAnsi="Arial" w:cs="Arial"/>
      <w:kern w:val="3"/>
      <w:sz w:val="24"/>
      <w:szCs w:val="24"/>
      <w:lang w:val="en-US" w:eastAsia="it-IT"/>
    </w:rPr>
  </w:style>
  <w:style w:type="paragraph" w:customStyle="1" w:styleId="TableContents">
    <w:name w:val="Table Contents"/>
    <w:basedOn w:val="Standard"/>
    <w:rsid w:val="00705B73"/>
  </w:style>
  <w:style w:type="paragraph" w:styleId="Testofumetto">
    <w:name w:val="Balloon Text"/>
    <w:basedOn w:val="Normale"/>
    <w:link w:val="TestofumettoCarattere"/>
    <w:uiPriority w:val="99"/>
    <w:semiHidden/>
    <w:unhideWhenUsed/>
    <w:rsid w:val="003328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28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Moretti</dc:creator>
  <cp:keywords/>
  <dc:description/>
  <cp:lastModifiedBy>Laura Angelelli</cp:lastModifiedBy>
  <cp:revision>2</cp:revision>
  <cp:lastPrinted>2021-03-22T13:33:00Z</cp:lastPrinted>
  <dcterms:created xsi:type="dcterms:W3CDTF">2021-03-22T12:03:00Z</dcterms:created>
  <dcterms:modified xsi:type="dcterms:W3CDTF">2021-03-22T13:34:00Z</dcterms:modified>
</cp:coreProperties>
</file>